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textAlignment w:val="baseline"/>
        <w:rPr>
          <w:rFonts w:ascii="Times New Roman" w:hAnsi="Times New Roman" w:eastAsia="方正小标宋简体"/>
          <w:color w:val="000000"/>
          <w:sz w:val="44"/>
          <w:szCs w:val="44"/>
          <w:u w:val="none" w:color="000000"/>
        </w:rPr>
      </w:pPr>
    </w:p>
    <w:p>
      <w:pPr>
        <w:widowControl/>
        <w:spacing w:line="560" w:lineRule="exact"/>
        <w:jc w:val="left"/>
        <w:textAlignment w:val="baseline"/>
        <w:rPr>
          <w:rFonts w:ascii="Times New Roman" w:hAnsi="Times New Roman" w:eastAsia="方正小标宋简体"/>
          <w:color w:val="000000"/>
          <w:sz w:val="44"/>
          <w:szCs w:val="44"/>
          <w:u w:val="none" w:color="000000"/>
        </w:rPr>
      </w:pPr>
      <w:r>
        <w:rPr>
          <w:rFonts w:hint="eastAsia" w:ascii="Times New Roman" w:hAnsi="Times New Roman" w:eastAsia="方正小标宋简体"/>
          <w:color w:val="000000"/>
          <w:sz w:val="44"/>
          <w:szCs w:val="44"/>
          <w:u w:val="none" w:color="000000"/>
        </w:rPr>
        <w:t>《中国煤炭机械工业发展研究报告（2023）》</w:t>
      </w:r>
    </w:p>
    <w:p>
      <w:pPr>
        <w:widowControl/>
        <w:spacing w:line="560" w:lineRule="exact"/>
        <w:jc w:val="center"/>
        <w:textAlignment w:val="baseline"/>
        <w:rPr>
          <w:rFonts w:ascii="Times New Roman" w:hAnsi="Times New Roman" w:eastAsia="方正小标宋简体"/>
          <w:color w:val="000000"/>
          <w:sz w:val="44"/>
          <w:szCs w:val="44"/>
          <w:u w:val="none" w:color="000000"/>
        </w:rPr>
      </w:pPr>
      <w:r>
        <w:rPr>
          <w:rFonts w:ascii="Times New Roman" w:hAnsi="Times New Roman" w:eastAsia="方正小标宋简体"/>
          <w:color w:val="000000"/>
          <w:sz w:val="44"/>
          <w:szCs w:val="44"/>
          <w:u w:val="none" w:color="000000"/>
        </w:rPr>
        <w:t>订阅</w:t>
      </w:r>
      <w:r>
        <w:rPr>
          <w:rFonts w:hint="eastAsia" w:ascii="Times New Roman" w:hAnsi="Times New Roman" w:eastAsia="方正小标宋简体"/>
          <w:color w:val="000000"/>
          <w:sz w:val="44"/>
          <w:szCs w:val="44"/>
          <w:u w:val="none" w:color="000000"/>
        </w:rPr>
        <w:t>简介</w:t>
      </w:r>
    </w:p>
    <w:p>
      <w:pPr>
        <w:widowControl/>
        <w:spacing w:line="560" w:lineRule="exact"/>
        <w:jc w:val="center"/>
        <w:textAlignment w:val="baseline"/>
        <w:rPr>
          <w:rFonts w:hint="eastAsia" w:ascii="Times New Roman" w:hAnsi="Times New Roman" w:eastAsia="方正小标宋简体"/>
          <w:color w:val="000000"/>
          <w:sz w:val="44"/>
          <w:szCs w:val="44"/>
          <w:u w:val="none" w:color="000000"/>
        </w:rPr>
      </w:pPr>
    </w:p>
    <w:p>
      <w:pPr>
        <w:widowControl/>
        <w:spacing w:line="560" w:lineRule="exact"/>
        <w:ind w:firstLine="640" w:firstLineChars="200"/>
        <w:textAlignment w:val="baseline"/>
        <w:rPr>
          <w:rFonts w:hint="eastAsia" w:ascii="仿宋_GB2312" w:hAnsi="Times New Roman" w:eastAsia="仿宋_GB2312"/>
          <w:color w:val="000000"/>
          <w:sz w:val="32"/>
          <w:szCs w:val="32"/>
          <w:u w:val="none" w:color="000000"/>
        </w:rPr>
      </w:pPr>
      <w:r>
        <w:rPr>
          <w:rFonts w:hint="eastAsia" w:ascii="仿宋_GB2312" w:hAnsi="Times New Roman" w:eastAsia="仿宋_GB2312"/>
          <w:color w:val="000000"/>
          <w:sz w:val="32"/>
          <w:szCs w:val="32"/>
          <w:u w:val="none" w:color="000000"/>
        </w:rPr>
        <w:t>《中国煤炭机械工业发展研究报告（2023）》（以下简称：报告）是中国煤炭机械工业协会与煤炭工业规划设计研究院有限公司组织行业内相关咨询机构、煤炭机械制造企业及相关高校、科研院所等共40余家单位共同完成，报告系统梳理了煤炭机械工业2012年~2022年发展成就以及煤炭机械制造企业发展成果，可供政府部门、行业协会、煤炭机械行业、煤炭机械制造企业、社会各界制定相关政策和决策时参考。</w:t>
      </w:r>
    </w:p>
    <w:p>
      <w:pPr>
        <w:widowControl/>
        <w:spacing w:line="560" w:lineRule="exact"/>
        <w:ind w:firstLine="640" w:firstLineChars="200"/>
        <w:textAlignment w:val="baseline"/>
        <w:rPr>
          <w:rFonts w:hint="eastAsia" w:ascii="仿宋_GB2312" w:eastAsia="仿宋_GB2312"/>
          <w:sz w:val="22"/>
          <w:szCs w:val="22"/>
        </w:rPr>
      </w:pPr>
      <w:r>
        <w:rPr>
          <w:rFonts w:hint="eastAsia" w:ascii="仿宋_GB2312" w:hAnsi="Times New Roman" w:eastAsia="仿宋_GB2312"/>
          <w:color w:val="000000"/>
          <w:sz w:val="32"/>
          <w:szCs w:val="32"/>
          <w:u w:val="none" w:color="000000"/>
        </w:rPr>
        <w:t>报告主要内容分为8章。第一章回顾中国煤炭机械工业新时代十年发展成就；第二章重点分析煤炭机械行业2022年度经济运行情况；第三、四、五章分别从井工煤矿装备进展、露天煤矿装备进展、煤炭洗选装备进展等三大方向展开详细阐述，介绍了重点煤机装备的研究与发展情况；第六章总结了煤炭装备制造业产业链结构、设计与加工、整机制造与再制造、检测检验技术的最新发展；第七章系统总结了典型煤炭机械装备制造企业（集团）的综合发展案例、专精特新“小巨人”企业案例、单项冠军企业案例，为煤炭机械装备制造企业高质量发展提供参考；第八章系统分析了中国煤炭机械工业发展环境和发展趋势，并给出了煤机装备制造业下一步的发展建议。</w:t>
      </w:r>
    </w:p>
    <w:p>
      <w:pPr>
        <w:widowControl/>
        <w:spacing w:line="560" w:lineRule="exact"/>
        <w:jc w:val="left"/>
        <w:textAlignment w:val="baseline"/>
        <w:rPr>
          <w:rFonts w:ascii="仿宋_GB2312" w:eastAsia="仿宋_GB2312"/>
          <w:sz w:val="32"/>
          <w:szCs w:val="32"/>
        </w:rPr>
        <w:sectPr>
          <w:footerReference r:id="rId3" w:type="default"/>
          <w:pgSz w:w="11906" w:h="16838"/>
          <w:pgMar w:top="2098" w:right="1474" w:bottom="1984" w:left="1587" w:header="851" w:footer="992" w:gutter="0"/>
          <w:cols w:space="720" w:num="1"/>
          <w:rtlGutter w:val="1"/>
          <w:docGrid w:type="lines" w:linePitch="316" w:charSpace="0"/>
        </w:sectPr>
      </w:pPr>
    </w:p>
    <w:p>
      <w:pPr>
        <w:widowControl/>
        <w:spacing w:line="560" w:lineRule="exact"/>
        <w:jc w:val="center"/>
        <w:textAlignment w:val="baseline"/>
        <w:rPr>
          <w:rFonts w:ascii="Times New Roman" w:hAnsi="Times New Roman" w:eastAsia="方正小标宋简体"/>
          <w:color w:val="000000"/>
          <w:sz w:val="44"/>
          <w:szCs w:val="44"/>
          <w:u w:val="none" w:color="000000"/>
        </w:rPr>
      </w:pPr>
    </w:p>
    <w:p>
      <w:pPr>
        <w:widowControl/>
        <w:spacing w:line="560" w:lineRule="exact"/>
        <w:jc w:val="center"/>
        <w:textAlignment w:val="baseline"/>
        <w:rPr>
          <w:rFonts w:ascii="Times New Roman" w:hAnsi="Times New Roman" w:eastAsia="方正小标宋简体"/>
          <w:color w:val="000000"/>
          <w:sz w:val="44"/>
          <w:szCs w:val="44"/>
          <w:u w:val="none" w:color="000000"/>
        </w:rPr>
      </w:pPr>
      <w:r>
        <w:rPr>
          <w:rFonts w:hint="eastAsia" w:ascii="Times New Roman" w:hAnsi="Times New Roman" w:eastAsia="方正小标宋简体"/>
          <w:color w:val="000000"/>
          <w:sz w:val="44"/>
          <w:szCs w:val="44"/>
          <w:u w:val="none" w:color="000000"/>
        </w:rPr>
        <w:t>《中国煤炭机械工业发展研究报告（2023）》</w:t>
      </w:r>
      <w:r>
        <w:rPr>
          <w:rFonts w:ascii="Times New Roman" w:hAnsi="Times New Roman" w:eastAsia="方正小标宋简体"/>
          <w:color w:val="000000"/>
          <w:sz w:val="44"/>
          <w:szCs w:val="44"/>
          <w:u w:val="none" w:color="000000"/>
        </w:rPr>
        <w:t>订阅单</w:t>
      </w:r>
    </w:p>
    <w:p>
      <w:pPr>
        <w:widowControl/>
        <w:spacing w:line="560" w:lineRule="exact"/>
        <w:jc w:val="center"/>
        <w:textAlignment w:val="baseline"/>
        <w:rPr>
          <w:rFonts w:hint="eastAsia" w:ascii="Times New Roman" w:hAnsi="Times New Roman" w:eastAsia="方正小标宋简体"/>
          <w:color w:val="000000"/>
          <w:sz w:val="44"/>
          <w:szCs w:val="44"/>
          <w:u w:val="none" w:color="000000"/>
        </w:rPr>
      </w:pPr>
    </w:p>
    <w:tbl>
      <w:tblPr>
        <w:tblStyle w:val="3"/>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992"/>
        <w:gridCol w:w="1843"/>
        <w:gridCol w:w="700"/>
        <w:gridCol w:w="859"/>
        <w:gridCol w:w="26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51" w:type="dxa"/>
            <w:tcBorders>
              <w:top w:val="single" w:color="auto" w:sz="8" w:space="0"/>
              <w:bottom w:val="single" w:color="auto" w:sz="8" w:space="0"/>
            </w:tcBorders>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r>
              <w:rPr>
                <w:rFonts w:hint="eastAsia" w:ascii="仿宋_GB2312" w:eastAsia="仿宋_GB2312"/>
                <w:color w:val="000000"/>
                <w:sz w:val="28"/>
                <w:szCs w:val="28"/>
                <w:u w:val="none" w:color="000000"/>
              </w:rPr>
              <w:t>发票抬头</w:t>
            </w:r>
          </w:p>
        </w:tc>
        <w:tc>
          <w:tcPr>
            <w:tcW w:w="6997" w:type="dxa"/>
            <w:gridSpan w:val="5"/>
            <w:tcBorders>
              <w:top w:val="single" w:color="auto" w:sz="8" w:space="0"/>
              <w:bottom w:val="single" w:color="auto" w:sz="8" w:space="0"/>
            </w:tcBorders>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51" w:type="dxa"/>
            <w:tcBorders>
              <w:top w:val="single" w:color="auto" w:sz="8" w:space="0"/>
            </w:tcBorders>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r>
              <w:rPr>
                <w:rFonts w:hint="eastAsia" w:ascii="仿宋_GB2312" w:eastAsia="仿宋_GB2312"/>
                <w:color w:val="000000"/>
                <w:sz w:val="28"/>
                <w:szCs w:val="28"/>
                <w:u w:val="none" w:color="000000"/>
              </w:rPr>
              <w:t>纳税人识别号</w:t>
            </w:r>
          </w:p>
        </w:tc>
        <w:tc>
          <w:tcPr>
            <w:tcW w:w="6997" w:type="dxa"/>
            <w:gridSpan w:val="5"/>
            <w:tcBorders>
              <w:top w:val="single" w:color="auto" w:sz="8" w:space="0"/>
            </w:tcBorders>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51" w:type="dxa"/>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r>
              <w:rPr>
                <w:rFonts w:hint="eastAsia" w:ascii="仿宋_GB2312" w:eastAsia="仿宋_GB2312"/>
                <w:color w:val="000000"/>
                <w:sz w:val="28"/>
                <w:szCs w:val="28"/>
                <w:u w:val="none" w:color="000000"/>
              </w:rPr>
              <w:t>地址、电话</w:t>
            </w:r>
          </w:p>
        </w:tc>
        <w:tc>
          <w:tcPr>
            <w:tcW w:w="6997" w:type="dxa"/>
            <w:gridSpan w:val="5"/>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51" w:type="dxa"/>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r>
              <w:rPr>
                <w:rFonts w:hint="eastAsia" w:ascii="仿宋_GB2312" w:eastAsia="仿宋_GB2312"/>
                <w:color w:val="000000"/>
                <w:sz w:val="28"/>
                <w:szCs w:val="28"/>
                <w:u w:val="none" w:color="000000"/>
              </w:rPr>
              <w:t>开户银行</w:t>
            </w:r>
          </w:p>
        </w:tc>
        <w:tc>
          <w:tcPr>
            <w:tcW w:w="6997" w:type="dxa"/>
            <w:gridSpan w:val="5"/>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51" w:type="dxa"/>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r>
              <w:rPr>
                <w:rFonts w:hint="eastAsia" w:ascii="仿宋_GB2312" w:eastAsia="仿宋_GB2312"/>
                <w:color w:val="000000"/>
                <w:sz w:val="28"/>
                <w:szCs w:val="28"/>
                <w:u w:val="none" w:color="000000"/>
              </w:rPr>
              <w:t>银行账号</w:t>
            </w:r>
          </w:p>
        </w:tc>
        <w:tc>
          <w:tcPr>
            <w:tcW w:w="6997" w:type="dxa"/>
            <w:gridSpan w:val="5"/>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51" w:type="dxa"/>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r>
              <w:rPr>
                <w:rFonts w:hint="eastAsia" w:ascii="仿宋_GB2312" w:eastAsia="仿宋_GB2312"/>
                <w:color w:val="000000"/>
                <w:sz w:val="28"/>
                <w:szCs w:val="28"/>
                <w:u w:val="none" w:color="000000"/>
              </w:rPr>
              <w:t>订阅数量/册</w:t>
            </w:r>
          </w:p>
        </w:tc>
        <w:tc>
          <w:tcPr>
            <w:tcW w:w="2835" w:type="dxa"/>
            <w:gridSpan w:val="2"/>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p>
        </w:tc>
        <w:tc>
          <w:tcPr>
            <w:tcW w:w="1559" w:type="dxa"/>
            <w:gridSpan w:val="2"/>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r>
              <w:rPr>
                <w:rFonts w:hint="eastAsia" w:ascii="仿宋_GB2312" w:eastAsia="仿宋_GB2312"/>
                <w:color w:val="000000"/>
                <w:sz w:val="28"/>
                <w:szCs w:val="28"/>
                <w:u w:val="none" w:color="000000"/>
              </w:rPr>
              <w:t>金额/元</w:t>
            </w:r>
          </w:p>
        </w:tc>
        <w:tc>
          <w:tcPr>
            <w:tcW w:w="2603" w:type="dxa"/>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51" w:type="dxa"/>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r>
              <w:rPr>
                <w:rFonts w:hint="eastAsia" w:ascii="仿宋_GB2312" w:eastAsia="仿宋_GB2312"/>
                <w:color w:val="000000"/>
                <w:sz w:val="28"/>
                <w:szCs w:val="28"/>
                <w:u w:val="none" w:color="000000"/>
              </w:rPr>
              <w:t>发票快递地址</w:t>
            </w:r>
          </w:p>
        </w:tc>
        <w:tc>
          <w:tcPr>
            <w:tcW w:w="2835" w:type="dxa"/>
            <w:gridSpan w:val="2"/>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p>
        </w:tc>
        <w:tc>
          <w:tcPr>
            <w:tcW w:w="1559" w:type="dxa"/>
            <w:gridSpan w:val="2"/>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r>
              <w:rPr>
                <w:rFonts w:hint="eastAsia" w:ascii="仿宋_GB2312" w:eastAsia="仿宋_GB2312"/>
                <w:color w:val="000000"/>
                <w:sz w:val="28"/>
                <w:szCs w:val="28"/>
                <w:u w:val="none" w:color="000000"/>
              </w:rPr>
              <w:t>收件人</w:t>
            </w:r>
          </w:p>
        </w:tc>
        <w:tc>
          <w:tcPr>
            <w:tcW w:w="2603" w:type="dxa"/>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51" w:type="dxa"/>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r>
              <w:rPr>
                <w:rFonts w:hint="eastAsia" w:ascii="仿宋_GB2312" w:eastAsia="仿宋_GB2312"/>
                <w:color w:val="000000"/>
                <w:sz w:val="28"/>
                <w:szCs w:val="28"/>
                <w:u w:val="none" w:color="000000"/>
              </w:rPr>
              <w:t>邮寄地址</w:t>
            </w:r>
          </w:p>
        </w:tc>
        <w:tc>
          <w:tcPr>
            <w:tcW w:w="2835" w:type="dxa"/>
            <w:gridSpan w:val="2"/>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p>
        </w:tc>
        <w:tc>
          <w:tcPr>
            <w:tcW w:w="1559" w:type="dxa"/>
            <w:gridSpan w:val="2"/>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r>
              <w:rPr>
                <w:rFonts w:hint="eastAsia" w:ascii="仿宋_GB2312" w:eastAsia="仿宋_GB2312"/>
                <w:color w:val="000000"/>
                <w:sz w:val="28"/>
                <w:szCs w:val="28"/>
                <w:u w:val="none" w:color="000000"/>
              </w:rPr>
              <w:t>邮编</w:t>
            </w:r>
          </w:p>
        </w:tc>
        <w:tc>
          <w:tcPr>
            <w:tcW w:w="2603" w:type="dxa"/>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51" w:type="dxa"/>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r>
              <w:rPr>
                <w:rFonts w:hint="eastAsia" w:ascii="仿宋_GB2312" w:eastAsia="仿宋_GB2312"/>
                <w:color w:val="000000"/>
                <w:sz w:val="28"/>
                <w:szCs w:val="28"/>
                <w:u w:val="none" w:color="000000"/>
              </w:rPr>
              <w:t>收件人</w:t>
            </w:r>
          </w:p>
        </w:tc>
        <w:tc>
          <w:tcPr>
            <w:tcW w:w="2835" w:type="dxa"/>
            <w:gridSpan w:val="2"/>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p>
        </w:tc>
        <w:tc>
          <w:tcPr>
            <w:tcW w:w="1559" w:type="dxa"/>
            <w:gridSpan w:val="2"/>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r>
              <w:rPr>
                <w:rFonts w:hint="eastAsia" w:ascii="仿宋_GB2312" w:eastAsia="仿宋_GB2312"/>
                <w:color w:val="000000"/>
                <w:sz w:val="28"/>
                <w:szCs w:val="28"/>
                <w:u w:val="none" w:color="000000"/>
              </w:rPr>
              <w:t>手机</w:t>
            </w:r>
          </w:p>
        </w:tc>
        <w:tc>
          <w:tcPr>
            <w:tcW w:w="2603" w:type="dxa"/>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51" w:type="dxa"/>
            <w:vMerge w:val="restart"/>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r>
              <w:rPr>
                <w:rFonts w:hint="eastAsia" w:ascii="仿宋_GB2312" w:eastAsia="仿宋_GB2312"/>
                <w:color w:val="000000"/>
                <w:sz w:val="28"/>
                <w:szCs w:val="28"/>
                <w:u w:val="none" w:color="000000"/>
              </w:rPr>
              <w:t>汇款方式</w:t>
            </w:r>
          </w:p>
        </w:tc>
        <w:tc>
          <w:tcPr>
            <w:tcW w:w="992" w:type="dxa"/>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r>
              <w:rPr>
                <w:rFonts w:hint="eastAsia" w:ascii="仿宋_GB2312" w:eastAsia="仿宋_GB2312"/>
                <w:color w:val="000000"/>
                <w:sz w:val="28"/>
                <w:szCs w:val="28"/>
                <w:u w:val="none" w:color="000000"/>
              </w:rPr>
              <w:t>地址</w:t>
            </w:r>
          </w:p>
        </w:tc>
        <w:tc>
          <w:tcPr>
            <w:tcW w:w="1843" w:type="dxa"/>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r>
              <w:rPr>
                <w:rFonts w:hint="eastAsia" w:ascii="仿宋_GB2312" w:eastAsia="仿宋_GB2312"/>
                <w:color w:val="000000"/>
                <w:sz w:val="28"/>
                <w:szCs w:val="28"/>
                <w:u w:val="none" w:color="000000"/>
              </w:rPr>
              <w:t>北京市西城区安德路67号</w:t>
            </w:r>
          </w:p>
        </w:tc>
        <w:tc>
          <w:tcPr>
            <w:tcW w:w="1559" w:type="dxa"/>
            <w:gridSpan w:val="2"/>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r>
              <w:rPr>
                <w:rFonts w:hint="eastAsia" w:ascii="仿宋_GB2312" w:eastAsia="仿宋_GB2312"/>
                <w:color w:val="000000"/>
                <w:sz w:val="28"/>
                <w:szCs w:val="28"/>
                <w:u w:val="none" w:color="000000"/>
              </w:rPr>
              <w:t>邮编</w:t>
            </w:r>
          </w:p>
        </w:tc>
        <w:tc>
          <w:tcPr>
            <w:tcW w:w="2603" w:type="dxa"/>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r>
              <w:rPr>
                <w:rFonts w:hint="eastAsia" w:ascii="仿宋_GB2312" w:eastAsia="仿宋_GB2312"/>
                <w:color w:val="000000"/>
                <w:sz w:val="28"/>
                <w:szCs w:val="28"/>
                <w:u w:val="none" w:color="000000"/>
              </w:rPr>
              <w:t>100120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51" w:type="dxa"/>
            <w:vMerge w:val="continue"/>
            <w:shd w:val="clear" w:color="auto" w:fill="auto"/>
            <w:noWrap w:val="0"/>
            <w:vAlign w:val="center"/>
          </w:tcPr>
          <w:p>
            <w:pPr>
              <w:widowControl/>
              <w:spacing w:line="300" w:lineRule="exact"/>
              <w:textAlignment w:val="baseline"/>
              <w:rPr>
                <w:rFonts w:hint="eastAsia" w:ascii="仿宋_GB2312" w:eastAsia="仿宋_GB2312"/>
                <w:color w:val="000000"/>
                <w:sz w:val="28"/>
                <w:szCs w:val="28"/>
                <w:u w:val="none" w:color="000000"/>
              </w:rPr>
            </w:pPr>
          </w:p>
        </w:tc>
        <w:tc>
          <w:tcPr>
            <w:tcW w:w="992" w:type="dxa"/>
            <w:vMerge w:val="restart"/>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r>
              <w:rPr>
                <w:rFonts w:hint="eastAsia" w:ascii="仿宋_GB2312" w:eastAsia="仿宋_GB2312"/>
                <w:color w:val="000000"/>
                <w:sz w:val="28"/>
                <w:szCs w:val="28"/>
                <w:u w:val="none" w:color="000000"/>
              </w:rPr>
              <w:t>开户行</w:t>
            </w:r>
          </w:p>
        </w:tc>
        <w:tc>
          <w:tcPr>
            <w:tcW w:w="2543" w:type="dxa"/>
            <w:gridSpan w:val="2"/>
            <w:vMerge w:val="restart"/>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r>
              <w:rPr>
                <w:rFonts w:hint="eastAsia" w:ascii="仿宋_GB2312" w:eastAsia="仿宋_GB2312"/>
                <w:color w:val="000000"/>
                <w:sz w:val="28"/>
                <w:szCs w:val="28"/>
                <w:u w:val="none" w:color="000000"/>
              </w:rPr>
              <w:t>光大银行北京安定门支行</w:t>
            </w:r>
          </w:p>
        </w:tc>
        <w:tc>
          <w:tcPr>
            <w:tcW w:w="859" w:type="dxa"/>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r>
              <w:rPr>
                <w:rFonts w:hint="eastAsia" w:ascii="仿宋_GB2312" w:eastAsia="仿宋_GB2312"/>
                <w:color w:val="000000"/>
                <w:sz w:val="28"/>
                <w:szCs w:val="28"/>
                <w:u w:val="none" w:color="000000"/>
              </w:rPr>
              <w:t>账号</w:t>
            </w:r>
          </w:p>
        </w:tc>
        <w:tc>
          <w:tcPr>
            <w:tcW w:w="2603" w:type="dxa"/>
            <w:shd w:val="clear" w:color="auto" w:fill="auto"/>
            <w:noWrap w:val="0"/>
            <w:vAlign w:val="center"/>
          </w:tcPr>
          <w:p>
            <w:pPr>
              <w:widowControl/>
              <w:spacing w:line="300" w:lineRule="exact"/>
              <w:textAlignment w:val="baseline"/>
              <w:rPr>
                <w:rFonts w:hint="eastAsia" w:ascii="仿宋_GB2312" w:eastAsia="仿宋_GB2312"/>
                <w:color w:val="000000"/>
                <w:sz w:val="28"/>
                <w:szCs w:val="28"/>
                <w:u w:val="none" w:color="000000"/>
              </w:rPr>
            </w:pPr>
            <w:r>
              <w:rPr>
                <w:rFonts w:hint="eastAsia" w:ascii="仿宋_GB2312" w:eastAsia="仿宋_GB2312"/>
                <w:color w:val="000000"/>
                <w:sz w:val="28"/>
                <w:szCs w:val="28"/>
                <w:u w:val="none" w:color="000000"/>
              </w:rPr>
              <w:t>75110188000110647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51" w:type="dxa"/>
            <w:vMerge w:val="continue"/>
            <w:shd w:val="clear" w:color="auto" w:fill="auto"/>
            <w:noWrap w:val="0"/>
            <w:vAlign w:val="center"/>
          </w:tcPr>
          <w:p>
            <w:pPr>
              <w:widowControl/>
              <w:numPr>
                <w:ilvl w:val="0"/>
                <w:numId w:val="1"/>
              </w:numPr>
              <w:spacing w:line="300" w:lineRule="exact"/>
              <w:jc w:val="center"/>
              <w:textAlignment w:val="baseline"/>
              <w:rPr>
                <w:rFonts w:hint="eastAsia" w:ascii="仿宋_GB2312" w:eastAsia="仿宋_GB2312"/>
                <w:color w:val="000000"/>
                <w:sz w:val="28"/>
                <w:szCs w:val="28"/>
                <w:u w:val="none" w:color="000000"/>
              </w:rPr>
            </w:pPr>
          </w:p>
        </w:tc>
        <w:tc>
          <w:tcPr>
            <w:tcW w:w="992" w:type="dxa"/>
            <w:vMerge w:val="continue"/>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p>
        </w:tc>
        <w:tc>
          <w:tcPr>
            <w:tcW w:w="2543" w:type="dxa"/>
            <w:gridSpan w:val="2"/>
            <w:vMerge w:val="continue"/>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p>
        </w:tc>
        <w:tc>
          <w:tcPr>
            <w:tcW w:w="859" w:type="dxa"/>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r>
              <w:rPr>
                <w:rFonts w:hint="eastAsia" w:ascii="仿宋_GB2312" w:eastAsia="仿宋_GB2312"/>
                <w:color w:val="000000"/>
                <w:sz w:val="28"/>
                <w:szCs w:val="28"/>
                <w:u w:val="none" w:color="000000"/>
              </w:rPr>
              <w:t>行号</w:t>
            </w:r>
          </w:p>
        </w:tc>
        <w:tc>
          <w:tcPr>
            <w:tcW w:w="2603" w:type="dxa"/>
            <w:shd w:val="clear" w:color="auto" w:fill="auto"/>
            <w:noWrap w:val="0"/>
            <w:vAlign w:val="center"/>
          </w:tcPr>
          <w:p>
            <w:pPr>
              <w:widowControl/>
              <w:spacing w:line="300" w:lineRule="exact"/>
              <w:textAlignment w:val="baseline"/>
              <w:rPr>
                <w:rFonts w:hint="eastAsia" w:ascii="仿宋_GB2312" w:eastAsia="仿宋_GB2312"/>
                <w:color w:val="000000"/>
                <w:sz w:val="28"/>
                <w:szCs w:val="28"/>
                <w:u w:val="none" w:color="000000"/>
              </w:rPr>
            </w:pPr>
            <w:r>
              <w:rPr>
                <w:rFonts w:hint="eastAsia" w:ascii="仿宋_GB2312" w:eastAsia="仿宋_GB2312"/>
                <w:color w:val="000000"/>
                <w:sz w:val="28"/>
                <w:szCs w:val="28"/>
                <w:u w:val="none" w:color="000000"/>
              </w:rPr>
              <w:t>303100000160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51" w:type="dxa"/>
            <w:vMerge w:val="continue"/>
            <w:shd w:val="clear" w:color="auto" w:fill="auto"/>
            <w:noWrap w:val="0"/>
            <w:vAlign w:val="center"/>
          </w:tcPr>
          <w:p>
            <w:pPr>
              <w:widowControl/>
              <w:numPr>
                <w:ilvl w:val="0"/>
                <w:numId w:val="1"/>
              </w:numPr>
              <w:spacing w:line="300" w:lineRule="exact"/>
              <w:jc w:val="center"/>
              <w:textAlignment w:val="baseline"/>
              <w:rPr>
                <w:rFonts w:hint="eastAsia" w:ascii="仿宋_GB2312" w:eastAsia="仿宋_GB2312"/>
                <w:color w:val="000000"/>
                <w:sz w:val="28"/>
                <w:szCs w:val="28"/>
                <w:u w:val="none" w:color="000000"/>
              </w:rPr>
            </w:pPr>
          </w:p>
        </w:tc>
        <w:tc>
          <w:tcPr>
            <w:tcW w:w="992" w:type="dxa"/>
            <w:vMerge w:val="continue"/>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p>
        </w:tc>
        <w:tc>
          <w:tcPr>
            <w:tcW w:w="2543" w:type="dxa"/>
            <w:gridSpan w:val="2"/>
            <w:vMerge w:val="continue"/>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p>
        </w:tc>
        <w:tc>
          <w:tcPr>
            <w:tcW w:w="859" w:type="dxa"/>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r>
              <w:rPr>
                <w:rFonts w:hint="eastAsia" w:ascii="仿宋_GB2312" w:eastAsia="仿宋_GB2312"/>
                <w:color w:val="000000"/>
                <w:sz w:val="28"/>
                <w:szCs w:val="28"/>
                <w:u w:val="none" w:color="000000"/>
              </w:rPr>
              <w:t>户名</w:t>
            </w:r>
          </w:p>
        </w:tc>
        <w:tc>
          <w:tcPr>
            <w:tcW w:w="2603" w:type="dxa"/>
            <w:shd w:val="clear" w:color="auto" w:fill="auto"/>
            <w:noWrap w:val="0"/>
            <w:vAlign w:val="center"/>
          </w:tcPr>
          <w:p>
            <w:pPr>
              <w:widowControl/>
              <w:spacing w:line="300" w:lineRule="exact"/>
              <w:jc w:val="center"/>
              <w:textAlignment w:val="baseline"/>
              <w:rPr>
                <w:rFonts w:hint="eastAsia" w:ascii="仿宋_GB2312" w:eastAsia="仿宋_GB2312"/>
                <w:color w:val="000000"/>
                <w:sz w:val="28"/>
                <w:szCs w:val="28"/>
                <w:u w:val="none" w:color="000000"/>
              </w:rPr>
            </w:pPr>
            <w:r>
              <w:rPr>
                <w:rFonts w:hint="eastAsia" w:ascii="仿宋_GB2312" w:eastAsia="仿宋_GB2312"/>
                <w:color w:val="000000"/>
                <w:sz w:val="28"/>
                <w:szCs w:val="28"/>
                <w:u w:val="none" w:color="000000"/>
              </w:rPr>
              <w:t>煤炭工业规划设计研究院有限公司</w:t>
            </w:r>
          </w:p>
        </w:tc>
      </w:tr>
    </w:tbl>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备注：发票开具</w:t>
      </w:r>
      <w:r>
        <w:rPr>
          <w:rFonts w:hint="eastAsia" w:ascii="仿宋_GB2312" w:hAnsi="仿宋_GB2312" w:eastAsia="仿宋_GB2312" w:cs="仿宋_GB2312"/>
          <w:sz w:val="32"/>
          <w:szCs w:val="32"/>
          <w:u w:val="single"/>
        </w:rPr>
        <w:t>刊款</w:t>
      </w:r>
      <w:r>
        <w:rPr>
          <w:rFonts w:hint="eastAsia" w:ascii="仿宋_GB2312" w:hAnsi="仿宋_GB2312" w:eastAsia="仿宋_GB2312" w:cs="仿宋_GB2312"/>
          <w:sz w:val="32"/>
          <w:szCs w:val="32"/>
        </w:rPr>
        <w:t>。</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定价：3</w:t>
      </w:r>
      <w:r>
        <w:rPr>
          <w:rFonts w:ascii="仿宋_GB2312" w:hAnsi="仿宋_GB2312" w:eastAsia="仿宋_GB2312" w:cs="仿宋_GB2312"/>
          <w:sz w:val="32"/>
          <w:szCs w:val="32"/>
        </w:rPr>
        <w:t>68</w:t>
      </w:r>
      <w:r>
        <w:rPr>
          <w:rFonts w:hint="eastAsia" w:ascii="仿宋_GB2312" w:hAnsi="仿宋_GB2312" w:eastAsia="仿宋_GB2312" w:cs="仿宋_GB2312"/>
          <w:sz w:val="32"/>
          <w:szCs w:val="32"/>
        </w:rPr>
        <w:t>元/册。</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联系人：张学亮1</w:t>
      </w:r>
      <w:r>
        <w:rPr>
          <w:rFonts w:ascii="仿宋_GB2312" w:hAnsi="仿宋_GB2312" w:eastAsia="仿宋_GB2312" w:cs="仿宋_GB2312"/>
          <w:sz w:val="32"/>
          <w:szCs w:val="32"/>
        </w:rPr>
        <w:t>5810471667</w:t>
      </w:r>
      <w:r>
        <w:rPr>
          <w:rFonts w:hint="eastAsia" w:ascii="仿宋_GB2312" w:hAnsi="仿宋_GB2312" w:eastAsia="仿宋_GB2312" w:cs="仿宋_GB2312"/>
          <w:sz w:val="32"/>
          <w:szCs w:val="32"/>
        </w:rPr>
        <w:t>（微信同号）</w:t>
      </w:r>
    </w:p>
    <w:p>
      <w:bookmarkStart w:id="0" w:name="_GoBack"/>
      <w:bookmarkEnd w:id="0"/>
    </w:p>
    <w:sectPr>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仿宋_GB2312"/>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0855846"/>
      <w:docPartObj>
        <w:docPartGallery w:val="autotext"/>
      </w:docPartObj>
    </w:sdtPr>
    <w:sdtContent>
      <w:p>
        <w:pPr>
          <w:pStyle w:val="2"/>
          <w:jc w:val="cente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C534AF"/>
    <w:multiLevelType w:val="multilevel"/>
    <w:tmpl w:val="67C534AF"/>
    <w:lvl w:ilvl="0" w:tentative="0">
      <w:start w:val="0"/>
      <w:numFmt w:val="bullet"/>
      <w:lvlText w:val="□"/>
      <w:lvlJc w:val="left"/>
      <w:pPr>
        <w:ind w:left="519" w:hanging="360"/>
      </w:pPr>
      <w:rPr>
        <w:rFonts w:hint="eastAsia" w:ascii="宋体" w:hAnsi="宋体" w:eastAsia="宋体" w:cs="宋体"/>
      </w:rPr>
    </w:lvl>
    <w:lvl w:ilvl="1" w:tentative="0">
      <w:start w:val="1"/>
      <w:numFmt w:val="bullet"/>
      <w:lvlText w:val=""/>
      <w:lvlJc w:val="left"/>
      <w:pPr>
        <w:ind w:left="999" w:hanging="420"/>
      </w:pPr>
      <w:rPr>
        <w:rFonts w:hint="default" w:ascii="Wingdings" w:hAnsi="Wingdings"/>
      </w:rPr>
    </w:lvl>
    <w:lvl w:ilvl="2" w:tentative="0">
      <w:start w:val="1"/>
      <w:numFmt w:val="bullet"/>
      <w:lvlText w:val=""/>
      <w:lvlJc w:val="left"/>
      <w:pPr>
        <w:ind w:left="1419" w:hanging="420"/>
      </w:pPr>
      <w:rPr>
        <w:rFonts w:hint="default" w:ascii="Wingdings" w:hAnsi="Wingdings"/>
      </w:rPr>
    </w:lvl>
    <w:lvl w:ilvl="3" w:tentative="0">
      <w:start w:val="1"/>
      <w:numFmt w:val="bullet"/>
      <w:lvlText w:val=""/>
      <w:lvlJc w:val="left"/>
      <w:pPr>
        <w:ind w:left="1839" w:hanging="420"/>
      </w:pPr>
      <w:rPr>
        <w:rFonts w:hint="default" w:ascii="Wingdings" w:hAnsi="Wingdings"/>
      </w:rPr>
    </w:lvl>
    <w:lvl w:ilvl="4" w:tentative="0">
      <w:start w:val="1"/>
      <w:numFmt w:val="bullet"/>
      <w:lvlText w:val=""/>
      <w:lvlJc w:val="left"/>
      <w:pPr>
        <w:ind w:left="2259" w:hanging="420"/>
      </w:pPr>
      <w:rPr>
        <w:rFonts w:hint="default" w:ascii="Wingdings" w:hAnsi="Wingdings"/>
      </w:rPr>
    </w:lvl>
    <w:lvl w:ilvl="5" w:tentative="0">
      <w:start w:val="1"/>
      <w:numFmt w:val="bullet"/>
      <w:lvlText w:val=""/>
      <w:lvlJc w:val="left"/>
      <w:pPr>
        <w:ind w:left="2679" w:hanging="420"/>
      </w:pPr>
      <w:rPr>
        <w:rFonts w:hint="default" w:ascii="Wingdings" w:hAnsi="Wingdings"/>
      </w:rPr>
    </w:lvl>
    <w:lvl w:ilvl="6" w:tentative="0">
      <w:start w:val="1"/>
      <w:numFmt w:val="bullet"/>
      <w:lvlText w:val=""/>
      <w:lvlJc w:val="left"/>
      <w:pPr>
        <w:ind w:left="3099" w:hanging="420"/>
      </w:pPr>
      <w:rPr>
        <w:rFonts w:hint="default" w:ascii="Wingdings" w:hAnsi="Wingdings"/>
      </w:rPr>
    </w:lvl>
    <w:lvl w:ilvl="7" w:tentative="0">
      <w:start w:val="1"/>
      <w:numFmt w:val="bullet"/>
      <w:lvlText w:val=""/>
      <w:lvlJc w:val="left"/>
      <w:pPr>
        <w:ind w:left="3519" w:hanging="420"/>
      </w:pPr>
      <w:rPr>
        <w:rFonts w:hint="default" w:ascii="Wingdings" w:hAnsi="Wingdings"/>
      </w:rPr>
    </w:lvl>
    <w:lvl w:ilvl="8" w:tentative="0">
      <w:start w:val="1"/>
      <w:numFmt w:val="bullet"/>
      <w:lvlText w:val=""/>
      <w:lvlJc w:val="left"/>
      <w:pPr>
        <w:ind w:left="3939"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hM2M0N2E0YzQzYzNhZTBlYmJmOGE1NDcxOWYwMGQifQ=="/>
  </w:docVars>
  <w:rsids>
    <w:rsidRoot w:val="00000000"/>
    <w:rsid w:val="12765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2023-12-25T11:04:55Z</dcterms:created>
  <dc:creator>94324</dc:creator>
  <cp:lastModifiedBy>WPS_1692858762</cp:lastModifiedBy>
  <dcterms:modified xsi:type="dcterms:W3CDTF">2023-12-25T11:05:09Z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03C43B1799CC4E87ABA93A4E3905E6EF_12</vt:lpwstr>
  </property>
</Properties>
</file>